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BA1" w:rsidRDefault="00B81BA1" w:rsidP="00B81BA1">
      <w:pPr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1B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 и принципы финансового учета</w:t>
      </w:r>
    </w:p>
    <w:p w:rsidR="00B81BA1" w:rsidRDefault="00B81BA1" w:rsidP="00B81BA1">
      <w:pPr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BA1" w:rsidRDefault="00B81BA1" w:rsidP="00250877">
      <w:pPr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BA1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Современное общество невозможно представить без учёта. Учёт и контроль – это неотъемлемая часть жизнедеятельности любого человека.</w:t>
      </w:r>
      <w:r w:rsidRPr="00B81BA1">
        <w:rPr>
          <w:rFonts w:ascii="Times New Roman" w:hAnsi="Times New Roman" w:cs="Times New Roman"/>
          <w:sz w:val="28"/>
          <w:szCs w:val="28"/>
        </w:rPr>
        <w:br/>
      </w:r>
      <w:r w:rsidRPr="00B81BA1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            Рыночная экономика подразумевает свободное экономическое пространство. Но свобода в правильном понимании смысла этого слова – это не отсутствие правил, а наоборот. Свобода, в том числе экономическая, – это право на осуществление хозяйственной деятельности и право на защиту экономических интересов субъектов этой деятельности. То есть, </w:t>
      </w:r>
      <w:proofErr w:type="gramStart"/>
      <w:r w:rsidRPr="00B81BA1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права</w:t>
      </w:r>
      <w:proofErr w:type="gramEnd"/>
      <w:r w:rsidRPr="00B81BA1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и свободы всегда сопровождаются правами и свободами других лиц. Осуществляя собственные права и свободы, хозяйствующие субъекты не должны нарушать права и свободы других участников, в том числе государства (необходимость уплаты обязательных платежей в бюджет).</w:t>
      </w:r>
      <w:r w:rsidRPr="00B81BA1">
        <w:rPr>
          <w:rFonts w:ascii="Times New Roman" w:hAnsi="Times New Roman" w:cs="Times New Roman"/>
          <w:sz w:val="28"/>
          <w:szCs w:val="28"/>
        </w:rPr>
        <w:br/>
      </w:r>
      <w:r w:rsidRPr="00B81BA1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             Таким образом, </w:t>
      </w:r>
      <w:r w:rsidRPr="00C313BF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одним из способов осуществления экономических прав и свобод хозяйствующих субъектов, является организация финансового учёта на предприятиях.</w:t>
      </w:r>
      <w:r w:rsidRPr="00C313BF">
        <w:rPr>
          <w:rFonts w:ascii="Times New Roman" w:hAnsi="Times New Roman" w:cs="Times New Roman"/>
          <w:b/>
          <w:sz w:val="28"/>
          <w:szCs w:val="28"/>
        </w:rPr>
        <w:br/>
      </w:r>
      <w:r w:rsidRPr="00B81BA1">
        <w:rPr>
          <w:rFonts w:ascii="Times New Roman" w:hAnsi="Times New Roman" w:cs="Times New Roman"/>
          <w:sz w:val="28"/>
          <w:szCs w:val="28"/>
          <w:shd w:val="clear" w:color="auto" w:fill="FFFFFF"/>
        </w:rPr>
        <w:t>   </w:t>
      </w:r>
      <w:r w:rsidRPr="00B81BA1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            Развитие  внешнеэкономических связей, привлечение  в страну иностранных инвестиций диктуют необходимость обеспечения  потенциальных партнеров достоверной  финансовой информацией, позволяющей  принимать обоснованные решения  при построении хозяйственных отношений  с казахстанскими предприятиями. Поэтому необходимо довести финансовую информацию по казахстанским предприятиям для потенциальных  инвесторов до привычной для них  формы.</w:t>
      </w:r>
    </w:p>
    <w:p w:rsidR="00250877" w:rsidRPr="00C313BF" w:rsidRDefault="00250877" w:rsidP="0025087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313BF">
        <w:rPr>
          <w:rStyle w:val="a4"/>
          <w:rFonts w:eastAsiaTheme="majorEastAsia"/>
          <w:color w:val="000000"/>
          <w:sz w:val="28"/>
          <w:szCs w:val="28"/>
        </w:rPr>
        <w:t>Финансовый учет</w:t>
      </w:r>
      <w:r w:rsidRPr="00C313BF">
        <w:rPr>
          <w:color w:val="000000"/>
          <w:sz w:val="28"/>
          <w:szCs w:val="28"/>
        </w:rPr>
        <w:t> - это информация о текущих расходах по основным направлениям этих расходов, доходах фирмы, о состоянии дебиторской и кредиторской задолженности, о размерах финансовых инвестиций и доходов от них, состоянии источников финансирования и т.п.</w:t>
      </w:r>
    </w:p>
    <w:p w:rsidR="00250877" w:rsidRPr="00656D22" w:rsidRDefault="00250877" w:rsidP="0025087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313BF">
        <w:rPr>
          <w:rStyle w:val="a4"/>
          <w:rFonts w:eastAsiaTheme="majorEastAsia"/>
          <w:color w:val="000000"/>
          <w:sz w:val="28"/>
          <w:szCs w:val="28"/>
        </w:rPr>
        <w:t>Финансовый учет</w:t>
      </w:r>
      <w:r w:rsidRPr="00C313BF">
        <w:rPr>
          <w:color w:val="000000"/>
          <w:sz w:val="28"/>
          <w:szCs w:val="28"/>
        </w:rPr>
        <w:t> охватывает информацию, которая не только используется для внутреннего управления, но и сообщается внешним пользователям</w:t>
      </w:r>
      <w:r w:rsidRPr="00656D22">
        <w:rPr>
          <w:color w:val="000000"/>
          <w:sz w:val="28"/>
          <w:szCs w:val="28"/>
        </w:rPr>
        <w:t>. При этом внешними пользователями бухгалтерской информации могут быть владельцы акций и кредиторы (настоящие и потенциальные), поставщики, покупатели, представители налоговых служб и внебюджетных фондов, служащие предприятия.</w:t>
      </w:r>
    </w:p>
    <w:p w:rsidR="00250877" w:rsidRPr="00656D22" w:rsidRDefault="00250877" w:rsidP="0025087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56D22">
        <w:rPr>
          <w:color w:val="000000"/>
          <w:sz w:val="28"/>
          <w:szCs w:val="28"/>
        </w:rPr>
        <w:t>Держатели акций стремятся иметь сведения о стоимости их капиталовложений и о том, какая прибыль извлекается из акций. Наемные работники хотят располагать данными о способности предприятия удовлетворять требованиям повышения заработной платы и воздерживаться от избытка рабочей силы. Кредиторы и владельцы ссудного капитала нуждаются в информации о способности той или иной фирмы выполнить взятые финансовые обязательства. Такие государственные организации, как Госкомстат России и налоговая инспекция, также собирают бухгалтерскую информацию и при этом уделяют внимание детализированным данным о декларируемой прибыли, начисляемых налогах, об объемах капиталовложений, имуществе и т.д.</w:t>
      </w:r>
    </w:p>
    <w:p w:rsidR="00250877" w:rsidRPr="00656D22" w:rsidRDefault="00250877" w:rsidP="0025087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313BF">
        <w:rPr>
          <w:b/>
          <w:color w:val="000000"/>
          <w:sz w:val="28"/>
          <w:szCs w:val="28"/>
        </w:rPr>
        <w:t>В основе финансового учета лежит известный балансовый метод, применяемый путем регистрации хозяйственных фактов и событий при помощи двойной записи на счетах</w:t>
      </w:r>
      <w:r w:rsidRPr="00656D22">
        <w:rPr>
          <w:color w:val="000000"/>
          <w:sz w:val="28"/>
          <w:szCs w:val="28"/>
        </w:rPr>
        <w:t xml:space="preserve">. По большому счету финансовый учет воплотил в себе традиционный бухгалтерский учет, освобожденный от </w:t>
      </w:r>
      <w:r w:rsidRPr="00656D22">
        <w:rPr>
          <w:color w:val="000000"/>
          <w:sz w:val="28"/>
          <w:szCs w:val="28"/>
        </w:rPr>
        <w:lastRenderedPageBreak/>
        <w:t>формирования не свойственной ему информации для внутрихозяйственного управления (под которым принято подразумевать внутрихозяйственный расчет).</w:t>
      </w:r>
    </w:p>
    <w:p w:rsidR="00250877" w:rsidRPr="00656D22" w:rsidRDefault="00250877" w:rsidP="0025087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56D22">
        <w:rPr>
          <w:color w:val="000000"/>
          <w:sz w:val="28"/>
          <w:szCs w:val="28"/>
        </w:rPr>
        <w:t>Финансовый учет используется для внутрихозяйственного управления, но только в пределах той информации, которая формируется в нем в рамках требований международных или национальных стандартов учета и отчетности.</w:t>
      </w:r>
    </w:p>
    <w:p w:rsidR="00250877" w:rsidRPr="00656D22" w:rsidRDefault="00250877" w:rsidP="0025087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313BF">
        <w:rPr>
          <w:b/>
          <w:color w:val="000000"/>
          <w:sz w:val="28"/>
          <w:szCs w:val="28"/>
        </w:rPr>
        <w:t>Основная цель финансового учета - это достоверность учета финансовых результатов деятельности предприятия, его имущественного и финансового состояния. К финансовому учету в большей части относятся вопросы прошлой деятельности, которые предназначены для составления внешней отчетности предприятия</w:t>
      </w:r>
      <w:r w:rsidRPr="00656D22">
        <w:rPr>
          <w:color w:val="000000"/>
          <w:sz w:val="28"/>
          <w:szCs w:val="28"/>
        </w:rPr>
        <w:t>.</w:t>
      </w:r>
    </w:p>
    <w:p w:rsidR="00B81BA1" w:rsidRPr="00B81BA1" w:rsidRDefault="00B81BA1" w:rsidP="00250877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7"/>
          <w:szCs w:val="27"/>
        </w:rPr>
      </w:pPr>
      <w:r w:rsidRPr="00B81BA1">
        <w:rPr>
          <w:iCs/>
          <w:sz w:val="28"/>
          <w:szCs w:val="28"/>
          <w:shd w:val="clear" w:color="auto" w:fill="FFFFFF"/>
        </w:rPr>
        <w:t xml:space="preserve">Для достижения данной цели, бухгалтерский учёт решает следующие  </w:t>
      </w:r>
      <w:bookmarkStart w:id="0" w:name="_GoBack"/>
      <w:r w:rsidRPr="00C313BF">
        <w:rPr>
          <w:b/>
          <w:iCs/>
          <w:sz w:val="28"/>
          <w:szCs w:val="28"/>
          <w:shd w:val="clear" w:color="auto" w:fill="FFFFFF"/>
        </w:rPr>
        <w:t>задачи:</w:t>
      </w:r>
      <w:bookmarkEnd w:id="0"/>
      <w:r w:rsidRPr="00B81BA1">
        <w:rPr>
          <w:sz w:val="28"/>
          <w:szCs w:val="28"/>
        </w:rPr>
        <w:br/>
      </w:r>
      <w:r w:rsidRPr="00656D22">
        <w:rPr>
          <w:iCs/>
          <w:sz w:val="28"/>
          <w:szCs w:val="28"/>
        </w:rPr>
        <w:t xml:space="preserve">         - </w:t>
      </w:r>
      <w:r w:rsidRPr="00B81BA1">
        <w:rPr>
          <w:iCs/>
          <w:sz w:val="28"/>
          <w:szCs w:val="28"/>
        </w:rPr>
        <w:t>Формирование полной и достоверной информации о деятельности организации и ее имущественном положении, необходимой внутренним пользователям бухгалтерской отчетности - руководителям, учредителям, участникам и собственникам имущества организации, а также внешним - инвесторам, кредиторам и другим пользователям бухгалтерской отчетности;</w:t>
      </w:r>
      <w:r w:rsidRPr="00B81BA1">
        <w:rPr>
          <w:sz w:val="28"/>
          <w:szCs w:val="28"/>
        </w:rPr>
        <w:br/>
      </w:r>
      <w:r w:rsidRPr="00656D22">
        <w:rPr>
          <w:iCs/>
          <w:sz w:val="28"/>
          <w:szCs w:val="28"/>
        </w:rPr>
        <w:t xml:space="preserve">          </w:t>
      </w:r>
      <w:proofErr w:type="gramStart"/>
      <w:r w:rsidRPr="00656D22">
        <w:rPr>
          <w:iCs/>
          <w:sz w:val="28"/>
          <w:szCs w:val="28"/>
        </w:rPr>
        <w:t>-</w:t>
      </w:r>
      <w:r w:rsidRPr="00B81BA1">
        <w:rPr>
          <w:iCs/>
          <w:sz w:val="28"/>
          <w:szCs w:val="28"/>
        </w:rPr>
        <w:t>О</w:t>
      </w:r>
      <w:proofErr w:type="gramEnd"/>
      <w:r w:rsidRPr="00B81BA1">
        <w:rPr>
          <w:iCs/>
          <w:sz w:val="28"/>
          <w:szCs w:val="28"/>
        </w:rPr>
        <w:t>беспечение информацией, необходимой внутренним и внешним пользователям бухгалтерской отчетности для контроля за соблюдением законодательства Республики Казахстан при осуществлении организацией хозяйственных операций и их целесообразностью, наличием и движением имущества и обязательств, использованием материальных, трудовых и финансовых ресурсов в соответствии с утвержденными нормами, нормативами и сметами;</w:t>
      </w:r>
      <w:r w:rsidRPr="00B81BA1">
        <w:rPr>
          <w:sz w:val="28"/>
          <w:szCs w:val="28"/>
        </w:rPr>
        <w:br/>
      </w:r>
      <w:r w:rsidRPr="00656D22">
        <w:rPr>
          <w:iCs/>
          <w:sz w:val="28"/>
          <w:szCs w:val="28"/>
        </w:rPr>
        <w:t xml:space="preserve">          </w:t>
      </w:r>
      <w:proofErr w:type="gramStart"/>
      <w:r w:rsidRPr="00656D22">
        <w:rPr>
          <w:iCs/>
          <w:sz w:val="28"/>
          <w:szCs w:val="28"/>
        </w:rPr>
        <w:t>-</w:t>
      </w:r>
      <w:r w:rsidRPr="00B81BA1">
        <w:rPr>
          <w:iCs/>
          <w:sz w:val="28"/>
          <w:szCs w:val="28"/>
        </w:rPr>
        <w:t>П</w:t>
      </w:r>
      <w:proofErr w:type="gramEnd"/>
      <w:r w:rsidRPr="00B81BA1">
        <w:rPr>
          <w:iCs/>
          <w:sz w:val="28"/>
          <w:szCs w:val="28"/>
        </w:rPr>
        <w:t>редотвращение отрицательных результатов хозяйственной деятельности организации и выявление внутрихозяйственных резервов обеспечения ее финансовой устойчивости.</w:t>
      </w:r>
    </w:p>
    <w:p w:rsidR="00B81BA1" w:rsidRPr="00B81BA1" w:rsidRDefault="00B81BA1" w:rsidP="00B81BA1">
      <w:pPr>
        <w:ind w:right="6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 </w:t>
      </w:r>
      <w:r w:rsidRPr="00B81BA1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«Задачами бухгалтерского (финансового) учёта являются не только вопросы внутренние (связанные с отношениями внутри предприятия), но и внешние (связанные правоотношениями с другими хозяйствующими субъектами и государством в лице государственных контролирующих органов)». Действительно, при помощи финансового учёта предприятие не только видит достоверное положение собственных дел, но и формирует информацию, которая может быть интересна потенциальным инвесторам (с точки зрения возможных инвестиций), и государству (с точки зрения налогов и статистики). Именно поэтому бухгалтерский баланс в обязательном порядке предоставляется в органы налогового контроля и статистики всеми налогоплательщиками.</w:t>
      </w:r>
      <w:r w:rsidRPr="00B81B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Pr="00B81BA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финансового учета</w:t>
      </w:r>
      <w:r w:rsidR="00FB2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предприятии </w:t>
      </w:r>
      <w:r w:rsidRPr="00B81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соблюдаться основные допущения и качественные характеристики бухгалтерского учета:</w:t>
      </w:r>
    </w:p>
    <w:p w:rsidR="00B81BA1" w:rsidRPr="00B81BA1" w:rsidRDefault="00B81BA1" w:rsidP="00B81B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C313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Принцип начисления</w:t>
      </w:r>
    </w:p>
    <w:p w:rsidR="00B81BA1" w:rsidRPr="00B81BA1" w:rsidRDefault="00B81BA1" w:rsidP="00B81BA1">
      <w:pPr>
        <w:ind w:right="6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BA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этому принципу результаты операций и прочих событий признаются, когда они возникают (а не при получении или выплате денежных средств или их эквивалентов) и отражаются в учетных записях и включаются в финансовую отчетность тех периодов, к которым они относятся.</w:t>
      </w:r>
    </w:p>
    <w:p w:rsidR="00B81BA1" w:rsidRPr="00B81BA1" w:rsidRDefault="00B81BA1" w:rsidP="00B81B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BA1">
        <w:rPr>
          <w:rFonts w:ascii="Times New Roman" w:eastAsia="Times New Roman" w:hAnsi="Times New Roman" w:cs="Times New Roman"/>
          <w:sz w:val="28"/>
          <w:szCs w:val="28"/>
          <w:lang w:eastAsia="ru-RU"/>
        </w:rPr>
        <w:t>2)Принцип непрерывности деятельности</w:t>
      </w:r>
    </w:p>
    <w:p w:rsidR="00B81BA1" w:rsidRPr="00B81BA1" w:rsidRDefault="00FB21D5" w:rsidP="00B81BA1">
      <w:pPr>
        <w:ind w:right="6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B81BA1" w:rsidRPr="00B81BA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опущени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81BA1" w:rsidRPr="00B81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организация функционирует непрерывно и будет вести операции в обозримом будущем. То есть организация не имеет намерения и </w:t>
      </w:r>
      <w:r w:rsidR="00B81BA1" w:rsidRPr="00B81BA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отсутствует необходимость в существенном сокращении масштабов деятельности или её ликвидации.</w:t>
      </w:r>
    </w:p>
    <w:p w:rsidR="00B81BA1" w:rsidRPr="00B81BA1" w:rsidRDefault="00B81BA1" w:rsidP="00B81B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BA1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C313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Принцип понятности</w:t>
      </w:r>
    </w:p>
    <w:p w:rsidR="00B81BA1" w:rsidRPr="00B81BA1" w:rsidRDefault="00B81BA1" w:rsidP="00B81BA1">
      <w:pPr>
        <w:ind w:right="6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Информация, предоставляемая на основе </w:t>
      </w:r>
      <w:r w:rsidR="00FB21D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данных финансового учета</w:t>
      </w:r>
      <w:r w:rsidRPr="00B81BA1">
        <w:rPr>
          <w:rFonts w:ascii="Times New Roman" w:eastAsia="Times New Roman" w:hAnsi="Times New Roman" w:cs="Times New Roman"/>
          <w:sz w:val="28"/>
          <w:szCs w:val="28"/>
          <w:lang w:eastAsia="ru-RU"/>
        </w:rPr>
        <w:t>, легко понятна пользователям.</w:t>
      </w:r>
    </w:p>
    <w:p w:rsidR="00B81BA1" w:rsidRPr="00B81BA1" w:rsidRDefault="00B81BA1" w:rsidP="00B81B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BA1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Pr="00C313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Принцип уместности</w:t>
      </w:r>
    </w:p>
    <w:p w:rsidR="00B81BA1" w:rsidRPr="00B81BA1" w:rsidRDefault="00B81BA1" w:rsidP="00B81BA1">
      <w:pPr>
        <w:ind w:right="6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BA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является уместной, если она влияет на экономические решения пользователей, помогает им оценить прошлые, настоящие или будущие события или подтверждает (или корректирует) их прошлые оценки.</w:t>
      </w:r>
    </w:p>
    <w:p w:rsidR="00B81BA1" w:rsidRPr="00B81BA1" w:rsidRDefault="00B81BA1" w:rsidP="00B81B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BA1"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  <w:r w:rsidRPr="00C313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Принцип существенности</w:t>
      </w:r>
    </w:p>
    <w:p w:rsidR="00B81BA1" w:rsidRPr="00B81BA1" w:rsidRDefault="00B81BA1" w:rsidP="00B81BA1">
      <w:pPr>
        <w:ind w:right="6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BA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уместность информации серьёзное влияние оказывают её характер и существенность. Информация считается существенной, если её пропуск или искажение могли бы повлиять на экономические решения пользователей, принятые на основании финансовой отчетности.</w:t>
      </w:r>
    </w:p>
    <w:p w:rsidR="00B81BA1" w:rsidRPr="00B81BA1" w:rsidRDefault="00B81BA1" w:rsidP="00B81B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BA1">
        <w:rPr>
          <w:rFonts w:ascii="Times New Roman" w:eastAsia="Times New Roman" w:hAnsi="Times New Roman" w:cs="Times New Roman"/>
          <w:sz w:val="28"/>
          <w:szCs w:val="28"/>
          <w:lang w:eastAsia="ru-RU"/>
        </w:rPr>
        <w:t>6)</w:t>
      </w:r>
      <w:r w:rsidRPr="00C313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Принцип надежности</w:t>
      </w:r>
    </w:p>
    <w:p w:rsidR="00B81BA1" w:rsidRPr="00B81BA1" w:rsidRDefault="00B81BA1" w:rsidP="00B81BA1">
      <w:pPr>
        <w:ind w:right="6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обладает качеством надежности, когда она свободна от существенных ошибок и пристрастности, то есть </w:t>
      </w:r>
      <w:proofErr w:type="gramStart"/>
      <w:r w:rsidRPr="00B81BA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</w:t>
      </w:r>
      <w:proofErr w:type="gramEnd"/>
      <w:r w:rsidRPr="00B81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правдиво раскрывает сущность отраженного в ней события.</w:t>
      </w:r>
    </w:p>
    <w:p w:rsidR="00B81BA1" w:rsidRPr="00B81BA1" w:rsidRDefault="00B81BA1" w:rsidP="00B81BA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BA1">
        <w:rPr>
          <w:rFonts w:ascii="Times New Roman" w:eastAsia="Times New Roman" w:hAnsi="Times New Roman" w:cs="Times New Roman"/>
          <w:sz w:val="28"/>
          <w:szCs w:val="28"/>
          <w:lang w:eastAsia="ru-RU"/>
        </w:rPr>
        <w:t>7)</w:t>
      </w:r>
      <w:r w:rsidRPr="00C313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Принцип сопоставимости</w:t>
      </w:r>
    </w:p>
    <w:p w:rsidR="00B81BA1" w:rsidRDefault="00B81BA1" w:rsidP="00B81BA1">
      <w:pPr>
        <w:ind w:right="60" w:firstLine="709"/>
        <w:jc w:val="both"/>
        <w:rPr>
          <w:rFonts w:eastAsia="Times New Roman"/>
          <w:lang w:eastAsia="ru-RU"/>
        </w:rPr>
      </w:pPr>
      <w:r w:rsidRPr="00B81BA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Измерение и отражение финансовых результатов аналогичных операций и других событий должны осуществляться последовательно для всей организации на протяжении её существования и последовательно для разных организаций. То есть, отражение одних и тех же показателей из года в год должно осуществляться в одной и той же организации по одним и тем же методам, которые должны быть понятны, чтобы можно было сопоставить эти данные с аналогичными показателя</w:t>
      </w:r>
      <w:r w:rsidRPr="00B81BA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других организаций</w:t>
      </w:r>
      <w:r>
        <w:rPr>
          <w:rFonts w:eastAsia="Times New Roman"/>
          <w:lang w:eastAsia="ru-RU"/>
        </w:rPr>
        <w:t>.</w:t>
      </w:r>
    </w:p>
    <w:p w:rsidR="00FB21D5" w:rsidRPr="00FB21D5" w:rsidRDefault="00FB21D5" w:rsidP="00FB21D5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ведения бухгалтерского учета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предприятию</w:t>
      </w:r>
      <w:r w:rsidRPr="00FB21D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прежде всего, необходимо руководствоваться Законом РК от 28 февраля 2007 года № 234-III «О бухгалтерском учете и финансовой отчетности», который не делает исключений по освобождению от ведения бухгалтерского учета ни для каких хозяйствующих субъектов Республики Казахстан, за исключением отдельных категорий индивидуальных предпринимателей.</w:t>
      </w:r>
    </w:p>
    <w:p w:rsidR="00FB21D5" w:rsidRPr="00FB21D5" w:rsidRDefault="00FB21D5" w:rsidP="00FB21D5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1D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Реформа системы бухгалтерского учета в Казахстане имела целью разработку новой системы бухгалтерского учета, которая отвечала бы требованиям экономических преобразований, расширению связей и интеграции Республики Казахстан в мировое сообщество.</w:t>
      </w:r>
      <w:r w:rsidRPr="00FB21D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Переход на международные стандарты бухгалтерского учета дал возможность собственникам бизнеса объективно оценить результаты финансово-хозяйственной деятельности, а управленцам – составлять достоверную финансовую отчетность. Кроме этого, в Казахстане утвержден Приказом Минфина РК от 31.01.2013 № 50 Национальный стандарт. В НСФО описываются общие положения и принципы по учету запасов, ОС, нематериальных активов, доходов, расходов в упрощенном варианте.</w:t>
      </w:r>
    </w:p>
    <w:p w:rsidR="00FB21D5" w:rsidRPr="00FB21D5" w:rsidRDefault="00FB21D5" w:rsidP="00FB21D5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1D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устанавливает требования к применению различных стандартов бухгалтерского учета в зависимости от величины организации, которые согласно закону «О Предпринимательстве» в Республике Казахстан подразделяются на три формы ведения предпринимательской деятельности: малая, средняя и крупная.</w:t>
      </w:r>
    </w:p>
    <w:tbl>
      <w:tblPr>
        <w:tblW w:w="1030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0"/>
        <w:gridCol w:w="3402"/>
        <w:gridCol w:w="3828"/>
      </w:tblGrid>
      <w:tr w:rsidR="00FB21D5" w:rsidRPr="00FB21D5" w:rsidTr="00952FE4">
        <w:trPr>
          <w:tblCellSpacing w:w="15" w:type="dxa"/>
        </w:trPr>
        <w:tc>
          <w:tcPr>
            <w:tcW w:w="3025" w:type="dxa"/>
            <w:shd w:val="clear" w:color="auto" w:fill="FFFFFF"/>
            <w:tcMar>
              <w:top w:w="195" w:type="dxa"/>
              <w:left w:w="195" w:type="dxa"/>
              <w:bottom w:w="195" w:type="dxa"/>
              <w:right w:w="195" w:type="dxa"/>
            </w:tcMar>
            <w:vAlign w:val="bottom"/>
            <w:hideMark/>
          </w:tcPr>
          <w:p w:rsidR="00FB21D5" w:rsidRPr="00FB21D5" w:rsidRDefault="00FB21D5" w:rsidP="00FB21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21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Форма ведения бизнеса</w:t>
            </w:r>
          </w:p>
        </w:tc>
        <w:tc>
          <w:tcPr>
            <w:tcW w:w="3372" w:type="dxa"/>
            <w:shd w:val="clear" w:color="auto" w:fill="FFFFFF"/>
            <w:tcMar>
              <w:top w:w="195" w:type="dxa"/>
              <w:left w:w="195" w:type="dxa"/>
              <w:bottom w:w="195" w:type="dxa"/>
              <w:right w:w="195" w:type="dxa"/>
            </w:tcMar>
            <w:vAlign w:val="bottom"/>
            <w:hideMark/>
          </w:tcPr>
          <w:p w:rsidR="00FB21D5" w:rsidRPr="00FB21D5" w:rsidRDefault="00FB21D5" w:rsidP="00FB21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21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Критерии</w:t>
            </w:r>
          </w:p>
        </w:tc>
        <w:tc>
          <w:tcPr>
            <w:tcW w:w="3783" w:type="dxa"/>
            <w:shd w:val="clear" w:color="auto" w:fill="FFFFFF"/>
            <w:tcMar>
              <w:top w:w="195" w:type="dxa"/>
              <w:left w:w="195" w:type="dxa"/>
              <w:bottom w:w="195" w:type="dxa"/>
              <w:right w:w="195" w:type="dxa"/>
            </w:tcMar>
            <w:vAlign w:val="bottom"/>
            <w:hideMark/>
          </w:tcPr>
          <w:p w:rsidR="00FB21D5" w:rsidRPr="00FB21D5" w:rsidRDefault="00FB21D5" w:rsidP="00FB21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21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Применяемые стандарты бухгалтерского учета</w:t>
            </w:r>
          </w:p>
        </w:tc>
      </w:tr>
      <w:tr w:rsidR="00FB21D5" w:rsidRPr="00FB21D5" w:rsidTr="00952FE4">
        <w:trPr>
          <w:tblCellSpacing w:w="15" w:type="dxa"/>
        </w:trPr>
        <w:tc>
          <w:tcPr>
            <w:tcW w:w="3025" w:type="dxa"/>
            <w:shd w:val="clear" w:color="auto" w:fill="F4F5F8"/>
            <w:tcMar>
              <w:top w:w="195" w:type="dxa"/>
              <w:left w:w="195" w:type="dxa"/>
              <w:bottom w:w="195" w:type="dxa"/>
              <w:right w:w="195" w:type="dxa"/>
            </w:tcMar>
            <w:vAlign w:val="bottom"/>
            <w:hideMark/>
          </w:tcPr>
          <w:p w:rsidR="00FB21D5" w:rsidRPr="00FB21D5" w:rsidRDefault="00FB21D5" w:rsidP="00FB21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2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Малая</w:t>
            </w:r>
          </w:p>
        </w:tc>
        <w:tc>
          <w:tcPr>
            <w:tcW w:w="3372" w:type="dxa"/>
            <w:shd w:val="clear" w:color="auto" w:fill="F4F5F8"/>
            <w:tcMar>
              <w:top w:w="195" w:type="dxa"/>
              <w:left w:w="195" w:type="dxa"/>
              <w:bottom w:w="195" w:type="dxa"/>
              <w:right w:w="195" w:type="dxa"/>
            </w:tcMar>
            <w:vAlign w:val="bottom"/>
            <w:hideMark/>
          </w:tcPr>
          <w:p w:rsidR="00FB21D5" w:rsidRPr="00FB21D5" w:rsidRDefault="00FB21D5" w:rsidP="00FB21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2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50 сотрудников, а активы за год не превышают 60000-кратный МРП</w:t>
            </w:r>
          </w:p>
        </w:tc>
        <w:tc>
          <w:tcPr>
            <w:tcW w:w="3783" w:type="dxa"/>
            <w:shd w:val="clear" w:color="auto" w:fill="F4F5F8"/>
            <w:tcMar>
              <w:top w:w="195" w:type="dxa"/>
              <w:left w:w="195" w:type="dxa"/>
              <w:bottom w:w="195" w:type="dxa"/>
              <w:right w:w="195" w:type="dxa"/>
            </w:tcMar>
            <w:vAlign w:val="bottom"/>
            <w:hideMark/>
          </w:tcPr>
          <w:p w:rsidR="00FB21D5" w:rsidRPr="00FB21D5" w:rsidRDefault="00FB21D5" w:rsidP="00FB21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2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НСФО</w:t>
            </w:r>
          </w:p>
          <w:p w:rsidR="00FB21D5" w:rsidRPr="00FB21D5" w:rsidRDefault="00FB21D5" w:rsidP="00FB21D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2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МСФО для МСБ</w:t>
            </w:r>
          </w:p>
          <w:p w:rsidR="00FB21D5" w:rsidRPr="00FB21D5" w:rsidRDefault="00FB21D5" w:rsidP="00FB21D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2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МСФО</w:t>
            </w:r>
          </w:p>
        </w:tc>
      </w:tr>
      <w:tr w:rsidR="00FB21D5" w:rsidRPr="00FB21D5" w:rsidTr="00952FE4">
        <w:trPr>
          <w:tblCellSpacing w:w="15" w:type="dxa"/>
        </w:trPr>
        <w:tc>
          <w:tcPr>
            <w:tcW w:w="3025" w:type="dxa"/>
            <w:shd w:val="clear" w:color="auto" w:fill="FFFFFF"/>
            <w:tcMar>
              <w:top w:w="195" w:type="dxa"/>
              <w:left w:w="195" w:type="dxa"/>
              <w:bottom w:w="195" w:type="dxa"/>
              <w:right w:w="195" w:type="dxa"/>
            </w:tcMar>
            <w:vAlign w:val="bottom"/>
            <w:hideMark/>
          </w:tcPr>
          <w:p w:rsidR="00FB21D5" w:rsidRPr="00FB21D5" w:rsidRDefault="00FB21D5" w:rsidP="00FB21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2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Средняя</w:t>
            </w:r>
          </w:p>
        </w:tc>
        <w:tc>
          <w:tcPr>
            <w:tcW w:w="3372" w:type="dxa"/>
            <w:shd w:val="clear" w:color="auto" w:fill="FFFFFF"/>
            <w:tcMar>
              <w:top w:w="195" w:type="dxa"/>
              <w:left w:w="195" w:type="dxa"/>
              <w:bottom w:w="195" w:type="dxa"/>
              <w:right w:w="195" w:type="dxa"/>
            </w:tcMar>
            <w:vAlign w:val="bottom"/>
            <w:hideMark/>
          </w:tcPr>
          <w:p w:rsidR="00FB21D5" w:rsidRPr="00FB21D5" w:rsidRDefault="00FB21D5" w:rsidP="00FB21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2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Свыше 50, но не более 250 человек, среднегодовая стоимость активов за год менее 325 000-кратного МРП</w:t>
            </w:r>
          </w:p>
        </w:tc>
        <w:tc>
          <w:tcPr>
            <w:tcW w:w="3783" w:type="dxa"/>
            <w:shd w:val="clear" w:color="auto" w:fill="FFFFFF"/>
            <w:tcMar>
              <w:top w:w="195" w:type="dxa"/>
              <w:left w:w="195" w:type="dxa"/>
              <w:bottom w:w="195" w:type="dxa"/>
              <w:right w:w="195" w:type="dxa"/>
            </w:tcMar>
            <w:vAlign w:val="bottom"/>
            <w:hideMark/>
          </w:tcPr>
          <w:p w:rsidR="00FB21D5" w:rsidRPr="00FB21D5" w:rsidRDefault="00FB21D5" w:rsidP="00FB21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2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МСФО для МСБ</w:t>
            </w:r>
          </w:p>
          <w:p w:rsidR="00FB21D5" w:rsidRPr="00FB21D5" w:rsidRDefault="00FB21D5" w:rsidP="00FB21D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2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МСФО</w:t>
            </w:r>
          </w:p>
        </w:tc>
      </w:tr>
      <w:tr w:rsidR="00FB21D5" w:rsidRPr="00FB21D5" w:rsidTr="00952FE4">
        <w:trPr>
          <w:tblCellSpacing w:w="15" w:type="dxa"/>
        </w:trPr>
        <w:tc>
          <w:tcPr>
            <w:tcW w:w="3025" w:type="dxa"/>
            <w:shd w:val="clear" w:color="auto" w:fill="F4F5F8"/>
            <w:tcMar>
              <w:top w:w="195" w:type="dxa"/>
              <w:left w:w="195" w:type="dxa"/>
              <w:bottom w:w="195" w:type="dxa"/>
              <w:right w:w="195" w:type="dxa"/>
            </w:tcMar>
            <w:vAlign w:val="bottom"/>
            <w:hideMark/>
          </w:tcPr>
          <w:p w:rsidR="00FB21D5" w:rsidRPr="00FB21D5" w:rsidRDefault="00FB21D5" w:rsidP="00FB21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2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Крупная</w:t>
            </w:r>
          </w:p>
        </w:tc>
        <w:tc>
          <w:tcPr>
            <w:tcW w:w="3372" w:type="dxa"/>
            <w:shd w:val="clear" w:color="auto" w:fill="F4F5F8"/>
            <w:tcMar>
              <w:top w:w="195" w:type="dxa"/>
              <w:left w:w="195" w:type="dxa"/>
              <w:bottom w:w="195" w:type="dxa"/>
              <w:right w:w="195" w:type="dxa"/>
            </w:tcMar>
            <w:vAlign w:val="bottom"/>
            <w:hideMark/>
          </w:tcPr>
          <w:p w:rsidR="00FB21D5" w:rsidRPr="00FB21D5" w:rsidRDefault="00FB21D5" w:rsidP="00FB21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2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Более 250 человек или имеет общую стоимость активов свыше 325 000-кратного МРП</w:t>
            </w:r>
          </w:p>
        </w:tc>
        <w:tc>
          <w:tcPr>
            <w:tcW w:w="3783" w:type="dxa"/>
            <w:shd w:val="clear" w:color="auto" w:fill="F4F5F8"/>
            <w:tcMar>
              <w:top w:w="195" w:type="dxa"/>
              <w:left w:w="195" w:type="dxa"/>
              <w:bottom w:w="195" w:type="dxa"/>
              <w:right w:w="195" w:type="dxa"/>
            </w:tcMar>
            <w:vAlign w:val="bottom"/>
            <w:hideMark/>
          </w:tcPr>
          <w:p w:rsidR="00FB21D5" w:rsidRPr="00FB21D5" w:rsidRDefault="00FB21D5" w:rsidP="00FB21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2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МСФО</w:t>
            </w:r>
          </w:p>
        </w:tc>
      </w:tr>
    </w:tbl>
    <w:p w:rsidR="00FB21D5" w:rsidRPr="00FB21D5" w:rsidRDefault="00FB21D5" w:rsidP="00952FE4">
      <w:pPr>
        <w:shd w:val="clear" w:color="auto" w:fill="FFFFFF"/>
        <w:ind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FB2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Законе «О предпринимательстве» также существует запрет на отнесение ТОО, </w:t>
      </w:r>
      <w:proofErr w:type="gramStart"/>
      <w:r w:rsidRPr="00FB21D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занимающихся</w:t>
      </w:r>
      <w:proofErr w:type="gramEnd"/>
      <w:r w:rsidRPr="00FB2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определенными видами деятельности, к субъектам малого бизнеса. Так, например, если ТОО численностью 10 человек предоставляет аудиторские услуги, и суммарный объем активов кратен 50000 МРП, оно не будет относиться к субъектам малого предпринимательства</w:t>
      </w:r>
    </w:p>
    <w:p w:rsidR="00FB21D5" w:rsidRDefault="00FB21D5" w:rsidP="00FB21D5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B21D5">
        <w:rPr>
          <w:sz w:val="28"/>
          <w:szCs w:val="28"/>
        </w:rPr>
        <w:t>НСФО – один национальный продукт, а МСФО – 45 документов, разработанных международным советом МСФО.</w:t>
      </w:r>
    </w:p>
    <w:p w:rsidR="00952FE4" w:rsidRPr="00952FE4" w:rsidRDefault="00952FE4" w:rsidP="00952FE4">
      <w:pPr>
        <w:pStyle w:val="a3"/>
        <w:shd w:val="clear" w:color="auto" w:fill="FFFFFF"/>
        <w:spacing w:before="0" w:beforeAutospacing="0" w:after="225" w:afterAutospacing="0"/>
        <w:textAlignment w:val="baseline"/>
        <w:rPr>
          <w:sz w:val="28"/>
          <w:szCs w:val="28"/>
        </w:rPr>
      </w:pPr>
      <w:r w:rsidRPr="00952FE4">
        <w:rPr>
          <w:sz w:val="28"/>
          <w:szCs w:val="28"/>
        </w:rPr>
        <w:t>НСФО – это наиболее упрощенный стандарт, который, в отличие от МСФО,  не имеет цели представлять сформированную по итогам года финансовую отчетность широкому кругу лиц,  не требует больших затрат на подготовку и обработку учетной информации.</w:t>
      </w:r>
    </w:p>
    <w:p w:rsidR="00FB21D5" w:rsidRPr="00FB21D5" w:rsidRDefault="00FB21D5" w:rsidP="00FB21D5"/>
    <w:p w:rsidR="00B81BA1" w:rsidRPr="00B81BA1" w:rsidRDefault="00B81BA1" w:rsidP="00B81BA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5821" w:rsidRDefault="000E5821" w:rsidP="00B81BA1">
      <w:pPr>
        <w:ind w:firstLine="709"/>
      </w:pPr>
    </w:p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81BA1"/>
    <w:rsid w:val="000E5821"/>
    <w:rsid w:val="00190430"/>
    <w:rsid w:val="00250877"/>
    <w:rsid w:val="00365B06"/>
    <w:rsid w:val="00543310"/>
    <w:rsid w:val="00656D22"/>
    <w:rsid w:val="00952FE4"/>
    <w:rsid w:val="00B81BA1"/>
    <w:rsid w:val="00C313BF"/>
    <w:rsid w:val="00FB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next w:val="a"/>
    <w:link w:val="10"/>
    <w:uiPriority w:val="9"/>
    <w:qFormat/>
    <w:rsid w:val="00FB21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1BA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81BA1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81BA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81B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unhideWhenUsed/>
    <w:rsid w:val="00B81BA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B21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Strong"/>
    <w:basedOn w:val="a0"/>
    <w:uiPriority w:val="22"/>
    <w:qFormat/>
    <w:rsid w:val="00FB21D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4</Pages>
  <Words>1460</Words>
  <Characters>8328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3</cp:revision>
  <cp:lastPrinted>2021-11-09T03:40:00Z</cp:lastPrinted>
  <dcterms:created xsi:type="dcterms:W3CDTF">2021-01-02T13:17:00Z</dcterms:created>
  <dcterms:modified xsi:type="dcterms:W3CDTF">2021-11-09T03:40:00Z</dcterms:modified>
</cp:coreProperties>
</file>